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r w:rsidR="004A005A"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70168E"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района </w:t>
      </w:r>
      <w:r w:rsidR="00DB6A08"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="0070168E"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DB6A0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</w:t>
      </w:r>
      <w:r w:rsidR="0093712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 w:rsidR="00DB6A0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 w:rsidR="00DB6A0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</w:t>
      </w:r>
      <w:r w:rsidR="0093712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="00021BA3"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 w:rsidR="00DB6A0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E-</w:t>
      </w:r>
      <w:proofErr w:type="spellStart"/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hyperlink r:id="rId4" w:history="1">
        <w:r w:rsidR="00587FA1" w:rsidRPr="00B305BF">
          <w:rPr>
            <w:rStyle w:val="a5"/>
            <w:rFonts w:ascii="Times New Roman" w:hAnsi="Times New Roman" w:cs="Times New Roman"/>
          </w:rPr>
          <w:t>dez-tv</w:t>
        </w:r>
        <w:r w:rsidR="00587FA1" w:rsidRPr="00B305BF">
          <w:rPr>
            <w:rStyle w:val="a5"/>
            <w:rFonts w:ascii="Times New Roman" w:hAnsi="Times New Roman" w:cs="Times New Roman"/>
            <w:lang w:val="en-US"/>
          </w:rPr>
          <w:t>erskoy</w:t>
        </w:r>
        <w:r w:rsidR="00587FA1" w:rsidRPr="00B305BF">
          <w:rPr>
            <w:rStyle w:val="a5"/>
            <w:rFonts w:ascii="Times New Roman" w:hAnsi="Times New Roman" w:cs="Times New Roman"/>
          </w:rPr>
          <w:t>@yandex.ru</w:t>
        </w:r>
        <w:proofErr w:type="gramEnd"/>
      </w:hyperlink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ОГРН  113</w:t>
      </w:r>
      <w:r w:rsid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="00A2705E"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A2705E"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="0070168E"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bookmarkEnd w:id="0"/>
    <w:p w:rsidR="0070168E" w:rsidRDefault="0070168E" w:rsidP="0070168E"/>
    <w:p w:rsidR="0070168E" w:rsidRPr="000A2DD7" w:rsidRDefault="00174942" w:rsidP="0070168E">
      <w:pPr>
        <w:pStyle w:val="1"/>
        <w:shd w:val="clear" w:color="auto" w:fill="auto"/>
        <w:spacing w:before="0"/>
        <w:ind w:left="20" w:right="20" w:hanging="20"/>
        <w:rPr>
          <w:rFonts w:eastAsia="Calibri"/>
          <w:b/>
          <w:sz w:val="28"/>
          <w:szCs w:val="28"/>
        </w:rPr>
      </w:pPr>
      <w:r w:rsidRPr="000A2DD7">
        <w:rPr>
          <w:rFonts w:eastAsia="Calibri"/>
          <w:b/>
          <w:sz w:val="28"/>
          <w:szCs w:val="28"/>
        </w:rPr>
        <w:t>Январь</w:t>
      </w:r>
      <w:r w:rsidR="004B706C" w:rsidRPr="000A2DD7">
        <w:rPr>
          <w:rFonts w:eastAsia="Calibri"/>
          <w:b/>
          <w:sz w:val="28"/>
          <w:szCs w:val="28"/>
        </w:rPr>
        <w:t xml:space="preserve"> 202</w:t>
      </w:r>
      <w:r w:rsidR="000A2DD7">
        <w:rPr>
          <w:rFonts w:eastAsia="Calibri"/>
          <w:b/>
          <w:sz w:val="28"/>
          <w:szCs w:val="28"/>
        </w:rPr>
        <w:t>3</w:t>
      </w:r>
      <w:r w:rsidR="0070168E" w:rsidRPr="000A2DD7">
        <w:rPr>
          <w:rFonts w:eastAsia="Calibri"/>
          <w:b/>
          <w:sz w:val="28"/>
          <w:szCs w:val="28"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9786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86F">
        <w:rPr>
          <w:rFonts w:ascii="Times New Roman" w:hAnsi="Times New Roman" w:cs="Times New Roman"/>
          <w:b/>
          <w:sz w:val="28"/>
          <w:szCs w:val="28"/>
        </w:rPr>
        <w:t>Брюсов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D9786F">
        <w:rPr>
          <w:rFonts w:ascii="Times New Roman" w:hAnsi="Times New Roman" w:cs="Times New Roman"/>
          <w:b/>
          <w:sz w:val="28"/>
          <w:szCs w:val="28"/>
        </w:rPr>
        <w:t>12, к.1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4F89" w:rsidRPr="005B4F89" w:rsidRDefault="005B4F89" w:rsidP="005B4F89">
      <w:pPr>
        <w:tabs>
          <w:tab w:val="left" w:pos="1134"/>
          <w:tab w:val="left" w:pos="2268"/>
          <w:tab w:val="left" w:pos="3402"/>
          <w:tab w:val="left" w:pos="4536"/>
          <w:tab w:val="left" w:pos="9667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de-DE"/>
        </w:rPr>
      </w:pPr>
    </w:p>
    <w:tbl>
      <w:tblPr>
        <w:tblW w:w="514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3683"/>
        <w:gridCol w:w="2617"/>
        <w:gridCol w:w="2268"/>
        <w:gridCol w:w="2378"/>
        <w:gridCol w:w="2127"/>
        <w:gridCol w:w="1576"/>
      </w:tblGrid>
      <w:tr w:rsidR="005B4F89" w:rsidRPr="005B4F89" w:rsidTr="00C35090">
        <w:trPr>
          <w:tblHeader/>
        </w:trPr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de-DE"/>
              </w:rPr>
              <w:t>№ п/п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de-DE"/>
              </w:rPr>
              <w:t>Наименование мероприятия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de-DE"/>
              </w:rPr>
              <w:t>Цель мероприятия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de-DE"/>
              </w:rPr>
              <w:t>Применяемые технологии и материалы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de-DE"/>
              </w:rPr>
              <w:t>Объем ожидаемого снижения используемых коммунальных ресурсов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de-DE"/>
              </w:rPr>
              <w:t>Ориентировочные расходы на проведение мероприятий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de-DE"/>
              </w:rPr>
              <w:t>Сроки окупаемости мероприятий</w:t>
            </w:r>
          </w:p>
        </w:tc>
      </w:tr>
      <w:tr w:rsidR="005B4F89" w:rsidRPr="005B4F89" w:rsidTr="00C35090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lang w:eastAsia="de-DE"/>
              </w:rPr>
              <w:t>I. Перечень организационных мероприятий</w:t>
            </w:r>
          </w:p>
        </w:tc>
      </w:tr>
      <w:tr w:rsidR="005B4F89" w:rsidRPr="005B4F89" w:rsidTr="00C35090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 xml:space="preserve">Проведение энергетического обследования многоквартирного дома </w:t>
            </w: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lastRenderedPageBreak/>
              <w:t>с разработкой перечня мероприятий по энергосбережению и повышению энергетической эффективности и проведением их стоимостной оценки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lastRenderedPageBreak/>
              <w:t>Определение потенциала энергосбережения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от 70 000 руб.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</w:tr>
      <w:tr w:rsidR="005B4F89" w:rsidRPr="005B4F89" w:rsidTr="00C35090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Проверка на предмет утечки сантехники, кранов, стиральных и посудомоечных машин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Снижение расхода воды за счет устранения утечек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до 156 м</w:t>
            </w: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eastAsia="de-DE"/>
              </w:rPr>
              <w:t>3</w:t>
            </w: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/год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</w:tr>
      <w:tr w:rsidR="005B4F89" w:rsidRPr="005B4F89" w:rsidTr="00C35090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Не оставлять открытыми смесители и водопроводные краны в жилых помещениях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Рациональное потребление воды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до 50 м</w:t>
            </w: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eastAsia="de-DE"/>
              </w:rPr>
              <w:t>3</w:t>
            </w: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/год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</w:tr>
      <w:tr w:rsidR="005B4F89" w:rsidRPr="005B4F89" w:rsidTr="00C35090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При наличии сливных бачков с двумя режимами работы необходимо использовать экономный режим слива воды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Рациональное потребление воды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до 25 м</w:t>
            </w: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eastAsia="de-DE"/>
              </w:rPr>
              <w:t>3</w:t>
            </w: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/год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</w:tr>
      <w:tr w:rsidR="005B4F89" w:rsidRPr="005B4F89" w:rsidTr="00C35090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Не оставлять в нерабочее время компьютер и телевизор в режиме «спящий режим/режим ожидания» - используйте кнопки «включить/выключить» на самом оборудовании или выключайте приборы из розетки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Рациональное потребление электроэнергии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до 120 кВт/год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</w:tr>
      <w:tr w:rsidR="005B4F89" w:rsidRPr="005B4F89" w:rsidTr="00C35090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Не оставлять включенными в сеть адаптеры для зарядки сотового телефона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Рациональное потребление электроэнергии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до 6 кВт/год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</w:tr>
      <w:tr w:rsidR="005B4F89" w:rsidRPr="005B4F89" w:rsidTr="00C35090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Не закрывать радиаторы отопления шторами и не загораживать их мебелью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Рациональное потребление тепловой энергии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до 10-12% потребления тепловой энергии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</w:tr>
      <w:tr w:rsidR="005B4F89" w:rsidRPr="005B4F89" w:rsidTr="00C35090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lang w:eastAsia="de-DE"/>
              </w:rPr>
              <w:t>II. Перечень мероприятий</w:t>
            </w:r>
          </w:p>
        </w:tc>
      </w:tr>
      <w:tr w:rsidR="005B4F89" w:rsidRPr="005B4F89" w:rsidTr="00C35090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de-DE"/>
              </w:rPr>
              <w:t>Фасад здания</w:t>
            </w:r>
          </w:p>
        </w:tc>
      </w:tr>
      <w:tr w:rsidR="005B4F89" w:rsidRPr="005B4F89" w:rsidTr="00C35090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Уменьшение расхода тепловой энергии (создания условий теплового комфорта в помещении)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Установка металлопластиковых окон с улучшенными теплозащитными характеристиками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до 30%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от 20 000 руб./шт.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от 20 мес.</w:t>
            </w:r>
          </w:p>
        </w:tc>
      </w:tr>
      <w:tr w:rsidR="005B4F89" w:rsidRPr="005B4F89" w:rsidTr="00C35090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Остекление балконов и лоджий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 xml:space="preserve">Уменьшение расхода тепла для </w:t>
            </w:r>
            <w:proofErr w:type="spellStart"/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энергоэффективной</w:t>
            </w:r>
            <w:proofErr w:type="spellEnd"/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 xml:space="preserve"> работы инженерных </w:t>
            </w: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lastRenderedPageBreak/>
              <w:t>Установка металлопластиковых конструкций с остеклением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до 8-10%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от 3 990 руб./м²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до 108 мес.</w:t>
            </w:r>
          </w:p>
        </w:tc>
      </w:tr>
      <w:tr w:rsidR="005B4F89" w:rsidRPr="005B4F89" w:rsidTr="00C35090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lang w:eastAsia="de-DE"/>
              </w:rPr>
              <w:t>Дверные и оконные конструкции</w:t>
            </w:r>
          </w:p>
        </w:tc>
      </w:tr>
      <w:tr w:rsidR="005B4F89" w:rsidRPr="005B4F89" w:rsidTr="00C35090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Установка теплоотражающих пленок на окна в помещениях общего пользования и жилых помещениях МКД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Рациональное использование тепловой энергии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Теплоотражающая пленка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до 30 %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от 600 руб./м²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до 24 мес.</w:t>
            </w:r>
          </w:p>
        </w:tc>
      </w:tr>
      <w:tr w:rsidR="005B4F89" w:rsidRPr="005B4F89" w:rsidTr="00C35090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rPr>
                <w:rFonts w:ascii="Times New Roman" w:eastAsia="Times New Roman" w:hAnsi="Times New Roman" w:cs="Times New Roman"/>
                <w:color w:val="161627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Рациональное использование тепловой энергии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Двери с теплоизоляцией, прокладки, полиуретановая пена, автоматические дверные доводчики и т.д.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до 5%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от 23</w:t>
            </w: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de-DE"/>
              </w:rPr>
              <w:t xml:space="preserve"> </w:t>
            </w: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000 руб./шт.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36 мес.</w:t>
            </w:r>
          </w:p>
        </w:tc>
      </w:tr>
      <w:tr w:rsidR="005B4F89" w:rsidRPr="005B4F89" w:rsidTr="00C35090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lang w:eastAsia="de-DE"/>
              </w:rPr>
              <w:t>Система отопления и горячего водоснабжения</w:t>
            </w:r>
          </w:p>
        </w:tc>
      </w:tr>
      <w:tr w:rsidR="005B4F89" w:rsidRPr="005B4F89" w:rsidTr="00C35090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Установка коллективного (общедомового) прибора учета тепловой энергии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Учет тепловой энергии, потребленной в многоквартирном доме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Прибор учета тепловой энергии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от 135</w:t>
            </w: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de-DE"/>
              </w:rPr>
              <w:t xml:space="preserve"> </w:t>
            </w: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000 руб./шт.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</w:tr>
      <w:tr w:rsidR="005B4F89" w:rsidRPr="005B4F89" w:rsidTr="00C35090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Установка коллективного (общедомового) прибора учета горячей воды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Учет горячей воды, потребленной в многоквартирном доме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от 100 000 руб./шт.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</w:tr>
      <w:tr w:rsidR="005B4F89" w:rsidRPr="005B4F89" w:rsidTr="00C35090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Установка индивидуального прибора учета горячей воды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от 2 500 руб./шт.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</w:tr>
      <w:tr w:rsidR="005B4F89" w:rsidRPr="005B4F89" w:rsidTr="00C35090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Экономия тепловой энергии в системе отопления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Термостатические радиаторные вентили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до 6%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от 1 600 руб./шт.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12 мес.</w:t>
            </w:r>
          </w:p>
        </w:tc>
      </w:tr>
      <w:tr w:rsidR="005B4F89" w:rsidRPr="005B4F89" w:rsidTr="00C35090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Монтаж теплоотражающих конструкций за радиаторами отопления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Рациональное потребление тепловой энергии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Теплоотражающий экран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до 2%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от 1 000 руб.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до 24 мес.</w:t>
            </w:r>
          </w:p>
        </w:tc>
      </w:tr>
      <w:tr w:rsidR="005B4F89" w:rsidRPr="005B4F89" w:rsidTr="00C35090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lang w:eastAsia="de-DE"/>
              </w:rPr>
              <w:t>Система электроснабжения и освещения</w:t>
            </w:r>
          </w:p>
        </w:tc>
      </w:tr>
      <w:tr w:rsidR="005B4F89" w:rsidRPr="005B4F89" w:rsidTr="00C35090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 xml:space="preserve">Учет электрической энергии, потребленной в </w:t>
            </w: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lastRenderedPageBreak/>
              <w:t>жилом в многоквартирном доме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lastRenderedPageBreak/>
              <w:t xml:space="preserve">Прибор учета электрической </w:t>
            </w: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lastRenderedPageBreak/>
              <w:t>энергии, позволяющий измерять объемы потребления электрической энергии по зонам суток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lastRenderedPageBreak/>
              <w:t>-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от 600 руб./шт.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</w:tr>
      <w:tr w:rsidR="005B4F89" w:rsidRPr="005B4F89" w:rsidTr="00C35090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Установка частотно-регулируемых приводов в лифтовом хозяйстве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Экономия электроэнергии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Частотно-регулируемые приводы лифтов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до 40-60%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от 70 000 руб./шт.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от 20 мес.</w:t>
            </w:r>
          </w:p>
        </w:tc>
      </w:tr>
      <w:tr w:rsidR="005B4F89" w:rsidRPr="005B4F89" w:rsidTr="00C35090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 xml:space="preserve">Замена ламп накаливания и ртутных ламп всех видов в местах общего пользования и в жилых помещениях на </w:t>
            </w:r>
            <w:proofErr w:type="spellStart"/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энергоэффективные</w:t>
            </w:r>
            <w:proofErr w:type="spellEnd"/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/светодиодные лампы (светильники)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Экономия электроэнергии и улучшение качества освещения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proofErr w:type="spellStart"/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Энергоэффективные</w:t>
            </w:r>
            <w:proofErr w:type="spellEnd"/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/светодиодные лампы/светильники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до 94%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от 300 руб./шт.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до 12 мес.</w:t>
            </w:r>
          </w:p>
        </w:tc>
      </w:tr>
      <w:tr w:rsidR="005B4F89" w:rsidRPr="005B4F89" w:rsidTr="00C35090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Экономия электроэнергии и автоматическое регулирование освещенности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Датчики освещенности, датчики движения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до 30%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от 1 500 руб./шт.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до 30 мес.</w:t>
            </w:r>
          </w:p>
        </w:tc>
      </w:tr>
      <w:tr w:rsidR="005B4F89" w:rsidRPr="005B4F89" w:rsidTr="00C35090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  <w:lang w:eastAsia="de-DE"/>
              </w:rPr>
              <w:t>Система водоснабжения</w:t>
            </w:r>
          </w:p>
        </w:tc>
      </w:tr>
      <w:tr w:rsidR="005B4F89" w:rsidRPr="005B4F89" w:rsidTr="00C35090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Установка счетчик на воду в жилом помещении МКД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Учет потребления воды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Прибор учета воды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2 500 руб./шт.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-</w:t>
            </w:r>
          </w:p>
        </w:tc>
      </w:tr>
      <w:tr w:rsidR="005B4F89" w:rsidRPr="005B4F89" w:rsidTr="00C35090"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Установка сливной арматуры с двумя режимами смыва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Экономия воды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Арматура водосливная 2-х кнопочная, регулируемый слив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до 25 м</w:t>
            </w: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eastAsia="de-DE"/>
              </w:rPr>
              <w:t>3</w:t>
            </w: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/год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от 600 руб./шт.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4F89" w:rsidRPr="005B4F89" w:rsidRDefault="005B4F89" w:rsidP="005B4F89">
            <w:pPr>
              <w:widowControl/>
              <w:tabs>
                <w:tab w:val="left" w:pos="1134"/>
                <w:tab w:val="left" w:pos="2268"/>
                <w:tab w:val="left" w:pos="3402"/>
                <w:tab w:val="left" w:pos="4536"/>
                <w:tab w:val="left" w:pos="9667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</w:pPr>
            <w:r w:rsidRPr="005B4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de-DE"/>
              </w:rPr>
              <w:t>6 мес.</w:t>
            </w:r>
          </w:p>
        </w:tc>
      </w:tr>
    </w:tbl>
    <w:p w:rsidR="005B4F89" w:rsidRPr="005B4F89" w:rsidRDefault="005B4F89" w:rsidP="005B4F89">
      <w:pPr>
        <w:widowControl/>
        <w:ind w:left="-142" w:right="-59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B4F89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de-DE"/>
        </w:rPr>
        <w:t>Показатели «</w:t>
      </w:r>
      <w:r w:rsidRPr="005B4F89">
        <w:rPr>
          <w:rFonts w:ascii="Times New Roman" w:eastAsia="Times New Roman" w:hAnsi="Times New Roman" w:cs="Times New Roman"/>
          <w:color w:val="auto"/>
          <w:sz w:val="20"/>
          <w:szCs w:val="20"/>
          <w:lang w:eastAsia="de-DE"/>
        </w:rPr>
        <w:t>Объем ожидаемого снижения используемых коммунальных ресурсов</w:t>
      </w:r>
      <w:r w:rsidRPr="005B4F89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de-DE"/>
        </w:rPr>
        <w:t>», «</w:t>
      </w:r>
      <w:r w:rsidRPr="005B4F89">
        <w:rPr>
          <w:rFonts w:ascii="Times New Roman" w:eastAsia="Times New Roman" w:hAnsi="Times New Roman" w:cs="Times New Roman"/>
          <w:color w:val="auto"/>
          <w:sz w:val="20"/>
          <w:szCs w:val="20"/>
          <w:lang w:eastAsia="de-DE"/>
        </w:rPr>
        <w:t>Ориентировочные расходы на проведение мероприятий</w:t>
      </w:r>
      <w:r w:rsidRPr="005B4F89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de-DE"/>
        </w:rPr>
        <w:t>» и «</w:t>
      </w:r>
      <w:r w:rsidRPr="005B4F89">
        <w:rPr>
          <w:rFonts w:ascii="Times New Roman" w:eastAsia="Times New Roman" w:hAnsi="Times New Roman" w:cs="Times New Roman"/>
          <w:color w:val="auto"/>
          <w:sz w:val="20"/>
          <w:szCs w:val="20"/>
          <w:lang w:eastAsia="de-DE"/>
        </w:rPr>
        <w:t>Сроки окупаемости мероприятий</w:t>
      </w:r>
      <w:r w:rsidRPr="005B4F89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de-DE"/>
        </w:rPr>
        <w:t>» для каждого мероприятия определяются индивидуально в зависимости от технических характеристик и потребления энергетических ресурсов и воды в МКД.</w:t>
      </w:r>
    </w:p>
    <w:p w:rsidR="005B4F89" w:rsidRDefault="005B4F89" w:rsidP="005B4F8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86C36" w:rsidRPr="000415F3" w:rsidRDefault="00186C36" w:rsidP="005B4F89">
      <w:pPr>
        <w:pStyle w:val="5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A2DD7"/>
    <w:rsid w:val="000B5DF8"/>
    <w:rsid w:val="000D7DD0"/>
    <w:rsid w:val="000E1F4C"/>
    <w:rsid w:val="000E5F25"/>
    <w:rsid w:val="000E783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87FA1"/>
    <w:rsid w:val="005A22A0"/>
    <w:rsid w:val="005B4F8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86F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95CBF-5FE6-4DEB-AAF0-28850134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9</cp:revision>
  <cp:lastPrinted>2022-03-22T09:54:00Z</cp:lastPrinted>
  <dcterms:created xsi:type="dcterms:W3CDTF">2022-03-23T13:21:00Z</dcterms:created>
  <dcterms:modified xsi:type="dcterms:W3CDTF">2023-07-24T14:26:00Z</dcterms:modified>
</cp:coreProperties>
</file>